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July</w:t>
      </w:r>
      <w:r>
        <w:t xml:space="preserve"> </w:t>
      </w:r>
      <w:r>
        <w:t xml:space="preserve">08,</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747632"/>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747632"/>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434459"/>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434459"/>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2029216" cy="2354893"/>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2029216" cy="2354893"/>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Review Top Options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Review Top Options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rrying-capacity-k"/>
      <w:r>
        <w:t xml:space="preserve">Carrying Capacity (K)</w:t>
      </w:r>
      <w:bookmarkEnd w:id="111"/>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2" w:name="catch-per-unit-effort-cpue"/>
      <w:r>
        <w:t xml:space="preserve">Catch-Per-Unit-Effort (CPUE)</w:t>
      </w:r>
      <w:bookmarkEnd w:id="112"/>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3" w:name="decision-rule"/>
      <w:r>
        <w:t xml:space="preserve">Decision Rule</w:t>
      </w:r>
      <w:bookmarkEnd w:id="113"/>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4" w:name="determinate-growth"/>
      <w:r>
        <w:t xml:space="preserve">Determinate Growth</w:t>
      </w:r>
      <w:bookmarkEnd w:id="114"/>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5" w:name="economic-overfishing"/>
      <w:r>
        <w:t xml:space="preserve">Economic Overfishing</w:t>
      </w:r>
      <w:bookmarkEnd w:id="115"/>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ecosystem-overfishing"/>
      <w:r>
        <w:t xml:space="preserve">Ecosystem Overfishing</w:t>
      </w:r>
      <w:bookmarkEnd w:id="116"/>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7" w:name="effort-creep"/>
      <w:r>
        <w:t xml:space="preserve">Effort Creep</w:t>
      </w:r>
      <w:bookmarkEnd w:id="117"/>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18" w:name="equilibrium"/>
      <w:r>
        <w:t xml:space="preserve">Equilibrium</w:t>
      </w:r>
      <w:bookmarkEnd w:id="118"/>
    </w:p>
    <w:p>
      <w:pPr>
        <w:pStyle w:val="FirstParagraph"/>
      </w:pPr>
      <w:r>
        <w:t xml:space="preserve">In population ecology, equilibrium refers to a state of balance.</w:t>
      </w:r>
    </w:p>
    <w:p>
      <w:pPr>
        <w:pStyle w:val="BodyText"/>
      </w:pPr>
      <w:r>
        <w:t xml:space="preserve">Source: FishPath Team</w:t>
      </w:r>
    </w:p>
    <w:p>
      <w:pPr>
        <w:pStyle w:val="Heading3"/>
      </w:pPr>
      <w:bookmarkStart w:id="119" w:name="fecundity"/>
      <w:r>
        <w:t xml:space="preserve">Fecundity</w:t>
      </w:r>
      <w:bookmarkEnd w:id="119"/>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0" w:name="fishery"/>
      <w:r>
        <w:t xml:space="preserve">Fishery</w:t>
      </w:r>
      <w:bookmarkEnd w:id="120"/>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1" w:name="fishery-dependent-data"/>
      <w:r>
        <w:t xml:space="preserve">Fishery-Dependent Data</w:t>
      </w:r>
      <w:bookmarkEnd w:id="121"/>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2" w:name="fishery-independent-data"/>
      <w:r>
        <w:t xml:space="preserve">Fishery-Independent Data</w:t>
      </w:r>
      <w:bookmarkEnd w:id="122"/>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effort"/>
      <w:r>
        <w:t xml:space="preserve">Fishery Effort</w:t>
      </w:r>
      <w:bookmarkEnd w:id="123"/>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ing-mortality-f"/>
      <w:r>
        <w:t xml:space="preserve">Fishing Mortality (F)</w:t>
      </w:r>
      <w:bookmarkEnd w:id="124"/>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5">
        <w:r>
          <w:rPr>
            <w:rStyle w:val="Hyperlink"/>
          </w:rPr>
          <w:t xml:space="preserve">https://www.fish.gov.au/about/glossary</w:t>
        </w:r>
      </w:hyperlink>
    </w:p>
    <w:p>
      <w:pPr>
        <w:pStyle w:val="Heading3"/>
      </w:pPr>
      <w:bookmarkStart w:id="126" w:name="growth-overfishing"/>
      <w:r>
        <w:t xml:space="preserve">Growth Overfishing</w:t>
      </w:r>
      <w:bookmarkEnd w:id="126"/>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harvest-control-rule-hcr"/>
      <w:r>
        <w:t xml:space="preserve">Harvest Control Rule (HCR)</w:t>
      </w:r>
      <w:bookmarkEnd w:id="127"/>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28" w:name="harvest-strategy"/>
      <w:r>
        <w:t xml:space="preserve">Harvest Strategy</w:t>
      </w:r>
      <w:bookmarkEnd w:id="128"/>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29" w:name="X791851fb3c577d2a6839931bb3072084ebca07f"/>
      <w:r>
        <w:t xml:space="preserve">Illegal, unregulated, and unreported (IUU) Fishing</w:t>
      </w:r>
      <w:bookmarkEnd w:id="129"/>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0">
        <w:r>
          <w:rPr>
            <w:rStyle w:val="Hyperlink"/>
          </w:rPr>
          <w:t xml:space="preserve">http://www.fao.org/iuu-fishing/background/what-is-iuu-fishing/en/</w:t>
        </w:r>
      </w:hyperlink>
    </w:p>
    <w:p>
      <w:pPr>
        <w:pStyle w:val="Heading3"/>
      </w:pPr>
      <w:bookmarkStart w:id="131" w:name="indicators"/>
      <w:r>
        <w:t xml:space="preserve">Indicators</w:t>
      </w:r>
      <w:bookmarkEnd w:id="131"/>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2" w:name="intrinsic-growth-rate-r"/>
      <w:r>
        <w:t xml:space="preserve">Intrinsic growth rate (r)</w:t>
      </w:r>
      <w:bookmarkEnd w:id="132"/>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3" w:name="latent-effort"/>
      <w:r>
        <w:t xml:space="preserve">Latent effort</w:t>
      </w:r>
      <w:bookmarkEnd w:id="133"/>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5">
        <w:r>
          <w:rPr>
            <w:rStyle w:val="Hyperlink"/>
          </w:rPr>
          <w:t xml:space="preserve">https://www.fish.gov.au/about/glossary</w:t>
        </w:r>
      </w:hyperlink>
    </w:p>
    <w:p>
      <w:pPr>
        <w:pStyle w:val="Heading3"/>
      </w:pPr>
      <w:bookmarkStart w:id="134" w:name="length-weight-relationship"/>
      <w:r>
        <w:t xml:space="preserve">Length-weight relationship</w:t>
      </w:r>
      <w:bookmarkEnd w:id="134"/>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5" w:name="limit-reference-point"/>
      <w:r>
        <w:t xml:space="preserve">Limit reference point</w:t>
      </w:r>
      <w:bookmarkEnd w:id="135"/>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management-strategy"/>
      <w:r>
        <w:t xml:space="preserve">Management Strategy</w:t>
      </w:r>
      <w:bookmarkEnd w:id="136"/>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37" w:name="maturity-ogive"/>
      <w:r>
        <w:t xml:space="preserve">Maturity ogive</w:t>
      </w:r>
      <w:bookmarkEnd w:id="137"/>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38" w:name="maximum-sustainable-yield-msy"/>
      <w:r>
        <w:t xml:space="preserve">Maximum sustainable yield (MSY)</w:t>
      </w:r>
      <w:bookmarkEnd w:id="138"/>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ultispecies-fishery"/>
      <w:r>
        <w:t xml:space="preserve">Multispecies fishery</w:t>
      </w:r>
      <w:bookmarkEnd w:id="139"/>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0" w:name="natural-mortality-m"/>
      <w:r>
        <w:t xml:space="preserve">Natural mortality (M)</w:t>
      </w:r>
      <w:bookmarkEnd w:id="140"/>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1" w:name="no-take-reserve"/>
      <w:r>
        <w:t xml:space="preserve">No-take reserve</w:t>
      </w:r>
      <w:bookmarkEnd w:id="141"/>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2" w:name="nursery-grounds"/>
      <w:r>
        <w:t xml:space="preserve">Nursery grounds</w:t>
      </w:r>
      <w:bookmarkEnd w:id="142"/>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open-access"/>
      <w:r>
        <w:t xml:space="preserve">Open Access</w:t>
      </w:r>
      <w:bookmarkEnd w:id="143"/>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4" w:name="overfished"/>
      <w:r>
        <w:t xml:space="preserve">Overfished</w:t>
      </w:r>
      <w:bookmarkEnd w:id="144"/>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5" w:name="overfishing"/>
      <w:r>
        <w:t xml:space="preserve">Overfishing</w:t>
      </w:r>
      <w:bookmarkEnd w:id="145"/>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6" w:name="periodic-strategist"/>
      <w:r>
        <w:t xml:space="preserve">Periodic strategist</w:t>
      </w:r>
      <w:bookmarkEnd w:id="146"/>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47" w:name="recruitment"/>
      <w:r>
        <w:t xml:space="preserve">Recruitment</w:t>
      </w:r>
      <w:bookmarkEnd w:id="147"/>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recruitment-overfishing"/>
      <w:r>
        <w:t xml:space="preserve">Recruitment Overfishing</w:t>
      </w:r>
      <w:bookmarkEnd w:id="148"/>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reference-points"/>
      <w:r>
        <w:t xml:space="preserve">Reference Points</w:t>
      </w:r>
      <w:bookmarkEnd w:id="149"/>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0" w:name="relative-abundance"/>
      <w:r>
        <w:t xml:space="preserve">Relative abundance</w:t>
      </w:r>
      <w:bookmarkEnd w:id="150"/>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1" w:name="removals"/>
      <w:r>
        <w:t xml:space="preserve">Removals</w:t>
      </w:r>
      <w:bookmarkEnd w:id="151"/>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sectorfleet"/>
      <w:r>
        <w:t xml:space="preserve">Sector/Fleet</w:t>
      </w:r>
      <w:bookmarkEnd w:id="152"/>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3">
        <w:r>
          <w:rPr>
            <w:rStyle w:val="Hyperlink"/>
          </w:rPr>
          <w:t xml:space="preserve">https://www.ices.dk/community/Documents/Advice/Acronyms_and_terminology.pdf</w:t>
        </w:r>
      </w:hyperlink>
    </w:p>
    <w:p>
      <w:pPr>
        <w:pStyle w:val="Heading3"/>
      </w:pPr>
      <w:bookmarkStart w:id="154" w:name="selectivity"/>
      <w:r>
        <w:t xml:space="preserve">Selectivity</w:t>
      </w:r>
      <w:bookmarkEnd w:id="154"/>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ssile"/>
      <w:r>
        <w:t xml:space="preserve">Sessile</w:t>
      </w:r>
      <w:bookmarkEnd w:id="155"/>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6" w:name="steepness"/>
      <w:r>
        <w:t xml:space="preserve">Steepness</w:t>
      </w:r>
      <w:bookmarkEnd w:id="156"/>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57">
        <w:r>
          <w:rPr>
            <w:rStyle w:val="Hyperlink"/>
          </w:rPr>
          <w:t xml:space="preserve">https://www.pifsc.noaa.gov/qrb/2011_06/article_08.php</w:t>
        </w:r>
      </w:hyperlink>
    </w:p>
    <w:p>
      <w:pPr>
        <w:pStyle w:val="Heading3"/>
      </w:pPr>
      <w:bookmarkStart w:id="158" w:name="stock"/>
      <w:r>
        <w:t xml:space="preserve">Stock</w:t>
      </w:r>
      <w:bookmarkEnd w:id="158"/>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59">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0" w:name="stock-abundance"/>
      <w:r>
        <w:t xml:space="preserve">Stock Abundance</w:t>
      </w:r>
      <w:bookmarkEnd w:id="160"/>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1" w:name="stock-status"/>
      <w:r>
        <w:t xml:space="preserve">Stock Status</w:t>
      </w:r>
      <w:bookmarkEnd w:id="161"/>
    </w:p>
    <w:p>
      <w:pPr>
        <w:pStyle w:val="FirstParagraph"/>
      </w:pPr>
      <w:r>
        <w:t xml:space="preserve">Relative level of a fish stock to its unfished biomass</w:t>
      </w:r>
    </w:p>
    <w:p>
      <w:pPr>
        <w:pStyle w:val="BodyText"/>
      </w:pPr>
      <w:r>
        <w:t xml:space="preserve">Source: FishPath Team</w:t>
      </w:r>
    </w:p>
    <w:p>
      <w:pPr>
        <w:pStyle w:val="Heading3"/>
      </w:pPr>
      <w:bookmarkStart w:id="162" w:name="target-reference-point"/>
      <w:r>
        <w:t xml:space="preserve">Target reference point</w:t>
      </w:r>
      <w:bookmarkEnd w:id="162"/>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transboudary"/>
      <w:r>
        <w:t xml:space="preserve">Transboudary</w:t>
      </w:r>
      <w:bookmarkEnd w:id="163"/>
    </w:p>
    <w:p>
      <w:pPr>
        <w:pStyle w:val="FirstParagraph"/>
      </w:pPr>
      <w:r>
        <w:t xml:space="preserve">A stock of fish that move across management boundaries</w:t>
      </w:r>
    </w:p>
    <w:p>
      <w:pPr>
        <w:pStyle w:val="BodyText"/>
      </w:pPr>
      <w:r>
        <w:t xml:space="preserve">Source: FishPath Team</w:t>
      </w:r>
    </w:p>
    <w:p>
      <w:pPr>
        <w:pStyle w:val="Heading3"/>
      </w:pPr>
      <w:bookmarkStart w:id="164" w:name="trigger-reference-point"/>
      <w:r>
        <w:t xml:space="preserve">Trigger reference point</w:t>
      </w:r>
      <w:bookmarkEnd w:id="164"/>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59"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0" Target="http://www.fao.org/iuu-fishing/background/what-is-iuu-fishing/en/"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5" Target="https://www.fish.gov.au/about/glossary" TargetMode="External" /><Relationship Type="http://schemas.openxmlformats.org/officeDocument/2006/relationships/hyperlink" Id="rId153"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57"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59"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0" Target="http://www.fao.org/iuu-fishing/background/what-is-iuu-fishing/en/"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5" Target="https://www.fish.gov.au/about/glossary" TargetMode="External" /><Relationship Type="http://schemas.openxmlformats.org/officeDocument/2006/relationships/hyperlink" Id="rId153"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57"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2020-07-08T20:33:36Z</dcterms:created>
  <dcterms:modified xsi:type="dcterms:W3CDTF">2020-07-08T20:33:36Z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July 08,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